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0" w:lineRule="auto"/>
        <w:jc w:val="center"/>
        <w:rPr>
          <w:b w:val="1"/>
          <w:bCs w:val="1"/>
          <w:sz w:val="46"/>
          <w:szCs w:val="46"/>
        </w:rPr>
      </w:pPr>
      <w:bookmarkStart w:colFirst="0" w:colLast="0" w:name="_ggcr21md1xc1" w:id="0"/>
      <w:bookmarkEnd w:id="0"/>
      <w:r w:rsidDel="00000000" w:rsidR="00000000" w:rsidRPr="00000000">
        <w:rPr>
          <w:b w:val="1"/>
          <w:bCs w:val="1"/>
          <w:sz w:val="46"/>
          <w:szCs w:val="46"/>
          <w:rtl w:val="0"/>
        </w:rPr>
        <w:t xml:space="preserve">A Guide to Synthesizing </w:t>
      </w:r>
    </w:p>
    <w:p w:rsidR="00000000" w:rsidDel="00000000" w:rsidP="00000000" w:rsidRDefault="00000000" w:rsidRPr="00000000" w14:paraId="00000002">
      <w:pPr>
        <w:pStyle w:val="Heading1"/>
        <w:keepNext w:val="0"/>
        <w:keepLines w:val="0"/>
        <w:spacing w:before="0" w:lineRule="auto"/>
        <w:jc w:val="center"/>
        <w:rPr>
          <w:b w:val="1"/>
          <w:bCs w:val="1"/>
          <w:sz w:val="46"/>
          <w:szCs w:val="46"/>
        </w:rPr>
      </w:pPr>
      <w:bookmarkStart w:colFirst="0" w:colLast="0" w:name="_6ftwaek338pk" w:id="1"/>
      <w:bookmarkEnd w:id="1"/>
      <w:r w:rsidDel="00000000" w:rsidR="00000000" w:rsidRPr="00000000">
        <w:rPr>
          <w:b w:val="1"/>
          <w:bCs w:val="1"/>
          <w:sz w:val="46"/>
          <w:szCs w:val="46"/>
          <w:rtl w:val="0"/>
        </w:rPr>
        <w:t xml:space="preserve">Literature at the Doctoral </w:t>
      </w:r>
      <w:r w:rsidDel="00000000" w:rsidR="00000000" w:rsidRPr="00000000">
        <w:rPr>
          <w:b w:val="1"/>
          <w:bCs w:val="1"/>
          <w:sz w:val="46"/>
          <w:szCs w:val="46"/>
          <w:rtl w:val="0"/>
        </w:rPr>
        <w:t xml:space="preserve">Level</w:t>
      </w:r>
      <w:r w:rsidDel="00000000" w:rsidR="00000000" w:rsidRPr="00000000">
        <w:rPr>
          <w:b w:val="1"/>
          <w:bCs w:val="1"/>
          <w:sz w:val="46"/>
          <w:szCs w:val="46"/>
          <w:rtl w:val="0"/>
        </w:rPr>
        <w:t xml:space="preserve"> </w:t>
      </w:r>
    </w:p>
    <w:p w:rsidR="00000000" w:rsidDel="00000000" w:rsidP="00000000" w:rsidRDefault="00000000" w:rsidRPr="00000000" w14:paraId="00000003">
      <w:pPr>
        <w:spacing w:after="240" w:lineRule="auto"/>
        <w:rPr/>
      </w:pPr>
      <w:r w:rsidDel="00000000" w:rsidR="00000000" w:rsidRPr="00000000">
        <w:rPr>
          <w:rtl w:val="0"/>
        </w:rPr>
        <w:t xml:space="preserve">Moving from undergraduate coursework to doctoral-level research requires a fundamental shift in the way students interact with academic literature. </w:t>
      </w:r>
      <w:r w:rsidDel="00000000" w:rsidR="00000000" w:rsidRPr="00000000">
        <w:rPr>
          <w:rtl w:val="0"/>
        </w:rPr>
        <w:t xml:space="preserve">Undergraduate</w:t>
      </w:r>
      <w:r w:rsidDel="00000000" w:rsidR="00000000" w:rsidRPr="00000000">
        <w:rPr>
          <w:rtl w:val="0"/>
        </w:rPr>
        <w:t xml:space="preserve"> writing typically involves </w:t>
      </w:r>
      <w:r w:rsidDel="00000000" w:rsidR="00000000" w:rsidRPr="00000000">
        <w:rPr>
          <w:rtl w:val="0"/>
        </w:rPr>
        <w:t xml:space="preserve">summarizing, or </w:t>
      </w:r>
      <w:r w:rsidDel="00000000" w:rsidR="00000000" w:rsidRPr="00000000">
        <w:rPr>
          <w:rtl w:val="0"/>
        </w:rPr>
        <w:t xml:space="preserve">telling the reader what each author said. Doctoral writing, however, must demonstrate </w:t>
      </w:r>
      <w:r w:rsidDel="00000000" w:rsidR="00000000" w:rsidRPr="00000000">
        <w:rPr>
          <w:b w:val="1"/>
          <w:bCs w:val="1"/>
          <w:rtl w:val="0"/>
        </w:rPr>
        <w:t xml:space="preserve">synthesis</w:t>
      </w:r>
      <w:r w:rsidDel="00000000" w:rsidR="00000000" w:rsidRPr="00000000">
        <w:rPr>
          <w:rtl w:val="0"/>
        </w:rPr>
        <w:t xml:space="preserve">.</w:t>
      </w:r>
    </w:p>
    <w:p w:rsidR="00000000" w:rsidDel="00000000" w:rsidP="00000000" w:rsidRDefault="00000000" w:rsidRPr="00000000" w14:paraId="00000004">
      <w:pPr>
        <w:spacing w:after="240" w:lineRule="auto"/>
        <w:rPr/>
      </w:pPr>
      <w:r w:rsidDel="00000000" w:rsidR="00000000" w:rsidRPr="00000000">
        <w:rPr>
          <w:rtl w:val="0"/>
        </w:rPr>
        <w:t xml:space="preserve">Synthesis is the act of combining separate articles, studies, theories, and/or data to construct a logical, new whole, academic work. Instead of recording a list of sources, doctoral learners must organize them into a structured discussion that outlines areas of agreement, disagreement, and significant gaps.</w:t>
      </w:r>
    </w:p>
    <w:p w:rsidR="00000000" w:rsidDel="00000000" w:rsidP="00000000" w:rsidRDefault="00000000" w:rsidRPr="00000000" w14:paraId="00000005">
      <w:pPr>
        <w:pStyle w:val="Heading2"/>
        <w:keepNext w:val="0"/>
        <w:keepLines w:val="0"/>
        <w:spacing w:after="80" w:before="0" w:lineRule="auto"/>
        <w:jc w:val="center"/>
        <w:rPr>
          <w:b w:val="1"/>
          <w:bCs w:val="1"/>
          <w:sz w:val="34"/>
          <w:szCs w:val="34"/>
        </w:rPr>
      </w:pPr>
      <w:bookmarkStart w:colFirst="0" w:colLast="0" w:name="_6chiyzeoorwi" w:id="2"/>
      <w:bookmarkEnd w:id="2"/>
      <w:r w:rsidDel="00000000" w:rsidR="00000000" w:rsidRPr="00000000">
        <w:rPr>
          <w:b w:val="1"/>
          <w:bCs w:val="1"/>
          <w:sz w:val="34"/>
          <w:szCs w:val="34"/>
          <w:rtl w:val="0"/>
        </w:rPr>
        <w:t xml:space="preserve">Essential Elements of Synthesis</w:t>
      </w:r>
    </w:p>
    <w:p w:rsidR="00000000" w:rsidDel="00000000" w:rsidP="00000000" w:rsidRDefault="00000000" w:rsidRPr="00000000" w14:paraId="00000006">
      <w:pPr>
        <w:spacing w:after="240" w:lineRule="auto"/>
        <w:rPr/>
      </w:pPr>
      <w:r w:rsidDel="00000000" w:rsidR="00000000" w:rsidRPr="00000000">
        <w:rPr>
          <w:rtl w:val="0"/>
        </w:rPr>
        <w:t xml:space="preserve">To write an effective literature review or theoretical foundation, the synthesis must accomplish three things:</w:t>
      </w:r>
    </w:p>
    <w:p w:rsidR="00000000" w:rsidDel="00000000" w:rsidP="00000000" w:rsidRDefault="00000000" w:rsidRPr="00000000" w14:paraId="00000007">
      <w:pPr>
        <w:numPr>
          <w:ilvl w:val="0"/>
          <w:numId w:val="2"/>
        </w:numPr>
        <w:spacing w:after="0" w:afterAutospacing="0" w:lineRule="auto"/>
        <w:ind w:left="720" w:hanging="360"/>
      </w:pPr>
      <w:r w:rsidDel="00000000" w:rsidR="00000000" w:rsidRPr="00000000">
        <w:rPr>
          <w:b w:val="1"/>
          <w:bCs w:val="1"/>
          <w:rtl w:val="0"/>
        </w:rPr>
        <w:t xml:space="preserve">Identify Themes Instead of Summarizing:</w:t>
      </w:r>
      <w:r w:rsidDel="00000000" w:rsidR="00000000" w:rsidRPr="00000000">
        <w:rPr>
          <w:rtl w:val="0"/>
        </w:rPr>
        <w:t xml:space="preserve"> Categorize the literature by</w:t>
      </w:r>
      <w:r w:rsidDel="00000000" w:rsidR="00000000" w:rsidRPr="00000000">
        <w:rPr>
          <w:rtl w:val="0"/>
        </w:rPr>
        <w:t xml:space="preserve"> ideas, variables, or methodological approaches, not</w:t>
      </w:r>
      <w:r w:rsidDel="00000000" w:rsidR="00000000" w:rsidRPr="00000000">
        <w:rPr>
          <w:rtl w:val="0"/>
        </w:rPr>
        <w:t xml:space="preserve"> by individual authors.</w:t>
      </w:r>
    </w:p>
    <w:p w:rsidR="00000000" w:rsidDel="00000000" w:rsidP="00000000" w:rsidRDefault="00000000" w:rsidRPr="00000000" w14:paraId="00000008">
      <w:pPr>
        <w:numPr>
          <w:ilvl w:val="0"/>
          <w:numId w:val="2"/>
        </w:numPr>
        <w:spacing w:after="0" w:afterAutospacing="0" w:lineRule="auto"/>
        <w:ind w:left="720" w:hanging="360"/>
      </w:pPr>
      <w:r w:rsidDel="00000000" w:rsidR="00000000" w:rsidRPr="00000000">
        <w:rPr>
          <w:b w:val="1"/>
          <w:bCs w:val="1"/>
          <w:rtl w:val="0"/>
        </w:rPr>
        <w:t xml:space="preserve">Demonstrate Relationships:</w:t>
      </w:r>
      <w:r w:rsidDel="00000000" w:rsidR="00000000" w:rsidRPr="00000000">
        <w:rPr>
          <w:rtl w:val="0"/>
        </w:rPr>
        <w:t xml:space="preserve"> Show</w:t>
      </w:r>
      <w:r w:rsidDel="00000000" w:rsidR="00000000" w:rsidRPr="00000000">
        <w:rPr>
          <w:rtl w:val="0"/>
        </w:rPr>
        <w:t xml:space="preserve"> how sources relate to one another. Does Source B echo the findings of Source A? Does Source C conflict with Source B?</w:t>
      </w:r>
    </w:p>
    <w:p w:rsidR="00000000" w:rsidDel="00000000" w:rsidP="00000000" w:rsidRDefault="00000000" w:rsidRPr="00000000" w14:paraId="00000009">
      <w:pPr>
        <w:numPr>
          <w:ilvl w:val="0"/>
          <w:numId w:val="2"/>
        </w:numPr>
        <w:spacing w:after="240" w:lineRule="auto"/>
        <w:ind w:left="720" w:hanging="360"/>
      </w:pPr>
      <w:r w:rsidDel="00000000" w:rsidR="00000000" w:rsidRPr="00000000">
        <w:rPr>
          <w:b w:val="1"/>
          <w:bCs w:val="1"/>
          <w:rtl w:val="0"/>
        </w:rPr>
        <w:t xml:space="preserve">Generate </w:t>
      </w:r>
      <w:r w:rsidDel="00000000" w:rsidR="00000000" w:rsidRPr="00000000">
        <w:rPr>
          <w:b w:val="1"/>
          <w:bCs w:val="1"/>
          <w:rtl w:val="0"/>
        </w:rPr>
        <w:t xml:space="preserve">a New </w:t>
      </w:r>
      <w:r w:rsidDel="00000000" w:rsidR="00000000" w:rsidRPr="00000000">
        <w:rPr>
          <w:b w:val="1"/>
          <w:bCs w:val="1"/>
          <w:rtl w:val="0"/>
        </w:rPr>
        <w:t xml:space="preserve">Evidence-based Argument:</w:t>
      </w:r>
      <w:r w:rsidDel="00000000" w:rsidR="00000000" w:rsidRPr="00000000">
        <w:rPr>
          <w:rtl w:val="0"/>
        </w:rPr>
        <w:t xml:space="preserve"> Doctoral researchers do not merely report what the literature says; they use the existing literature to justify the necessity of their specific study</w:t>
      </w:r>
      <w:r w:rsidDel="00000000" w:rsidR="00000000" w:rsidRPr="00000000">
        <w:rPr>
          <w:rtl w:val="0"/>
        </w:rPr>
        <w:t xml:space="preserve">. </w:t>
      </w:r>
    </w:p>
    <w:p w:rsidR="00000000" w:rsidDel="00000000" w:rsidP="00000000" w:rsidRDefault="00000000" w:rsidRPr="00000000" w14:paraId="0000000A">
      <w:pPr>
        <w:pStyle w:val="Heading2"/>
        <w:keepNext w:val="0"/>
        <w:keepLines w:val="0"/>
        <w:spacing w:after="80" w:before="0" w:lineRule="auto"/>
        <w:rPr>
          <w:b w:val="1"/>
          <w:bCs w:val="1"/>
          <w:sz w:val="34"/>
          <w:szCs w:val="34"/>
        </w:rPr>
      </w:pPr>
      <w:bookmarkStart w:colFirst="0" w:colLast="0" w:name="_6k19kuf2d35h" w:id="3"/>
      <w:bookmarkEnd w:id="3"/>
      <w:r w:rsidDel="00000000" w:rsidR="00000000" w:rsidRPr="00000000">
        <w:rPr>
          <w:b w:val="1"/>
          <w:bCs w:val="1"/>
          <w:sz w:val="34"/>
          <w:szCs w:val="34"/>
          <w:rtl w:val="0"/>
        </w:rPr>
        <w:t xml:space="preserve">The Synthesis Matrix: A Tool for Success</w:t>
      </w:r>
    </w:p>
    <w:p w:rsidR="00000000" w:rsidDel="00000000" w:rsidP="00000000" w:rsidRDefault="00000000" w:rsidRPr="00000000" w14:paraId="0000000B">
      <w:pPr>
        <w:spacing w:after="240" w:lineRule="auto"/>
        <w:rPr/>
      </w:pPr>
      <w:r w:rsidDel="00000000" w:rsidR="00000000" w:rsidRPr="00000000">
        <w:rPr>
          <w:rtl w:val="0"/>
        </w:rPr>
        <w:t xml:space="preserve">The best way for doctoral learners to move</w:t>
      </w:r>
      <w:r w:rsidDel="00000000" w:rsidR="00000000" w:rsidRPr="00000000">
        <w:rPr>
          <w:rtl w:val="0"/>
        </w:rPr>
        <w:t xml:space="preserve"> from reading to synthesizing is to use a </w:t>
      </w:r>
      <w:r w:rsidDel="00000000" w:rsidR="00000000" w:rsidRPr="00000000">
        <w:rPr>
          <w:b w:val="1"/>
          <w:bCs w:val="1"/>
          <w:rtl w:val="0"/>
        </w:rPr>
        <w:t xml:space="preserve">Synthesis Matrix</w:t>
      </w:r>
      <w:r w:rsidDel="00000000" w:rsidR="00000000" w:rsidRPr="00000000">
        <w:rPr>
          <w:rtl w:val="0"/>
        </w:rPr>
        <w:t xml:space="preserve">. This is a highly structured table that requires students to organize research by themes rather than by </w:t>
      </w:r>
      <w:r w:rsidDel="00000000" w:rsidR="00000000" w:rsidRPr="00000000">
        <w:rPr>
          <w:rtl w:val="0"/>
        </w:rPr>
        <w:t xml:space="preserve">article</w:t>
      </w:r>
      <w:r w:rsidDel="00000000" w:rsidR="00000000" w:rsidRPr="00000000">
        <w:rPr>
          <w:rtl w:val="0"/>
        </w:rPr>
        <w:t xml:space="preserve">.</w:t>
      </w:r>
    </w:p>
    <w:p w:rsidR="00000000" w:rsidDel="00000000" w:rsidP="00000000" w:rsidRDefault="00000000" w:rsidRPr="00000000" w14:paraId="0000000C">
      <w:pPr>
        <w:pStyle w:val="Heading3"/>
        <w:keepNext w:val="0"/>
        <w:keepLines w:val="0"/>
        <w:spacing w:before="0" w:lineRule="auto"/>
        <w:rPr>
          <w:b w:val="1"/>
          <w:bCs w:val="1"/>
          <w:i w:val="1"/>
          <w:iCs w:val="1"/>
          <w:color w:val="000000"/>
          <w:sz w:val="26"/>
          <w:szCs w:val="26"/>
        </w:rPr>
      </w:pPr>
      <w:bookmarkStart w:colFirst="0" w:colLast="0" w:name="_evipjp40cizw" w:id="4"/>
      <w:bookmarkEnd w:id="4"/>
      <w:r w:rsidDel="00000000" w:rsidR="00000000" w:rsidRPr="00000000">
        <w:rPr>
          <w:b w:val="1"/>
          <w:bCs w:val="1"/>
          <w:i w:val="1"/>
          <w:iCs w:val="1"/>
          <w:color w:val="000000"/>
          <w:sz w:val="26"/>
          <w:szCs w:val="26"/>
          <w:rtl w:val="0"/>
        </w:rPr>
        <w:t xml:space="preserve">How to Use It</w:t>
      </w:r>
    </w:p>
    <w:p w:rsidR="00000000" w:rsidDel="00000000" w:rsidP="00000000" w:rsidRDefault="00000000" w:rsidRPr="00000000" w14:paraId="0000000D">
      <w:pPr>
        <w:numPr>
          <w:ilvl w:val="0"/>
          <w:numId w:val="1"/>
        </w:numPr>
        <w:spacing w:after="0" w:afterAutospacing="0" w:lineRule="auto"/>
        <w:ind w:left="720" w:hanging="360"/>
      </w:pPr>
      <w:r w:rsidDel="00000000" w:rsidR="00000000" w:rsidRPr="00000000">
        <w:rPr>
          <w:b w:val="1"/>
          <w:bCs w:val="1"/>
          <w:rtl w:val="0"/>
        </w:rPr>
        <w:t xml:space="preserve">Columns:</w:t>
      </w:r>
      <w:r w:rsidDel="00000000" w:rsidR="00000000" w:rsidRPr="00000000">
        <w:rPr>
          <w:rtl w:val="0"/>
        </w:rPr>
        <w:t xml:space="preserve"> Use the first column for your sources (Citation/Author). Leave the remaining columns to record the main </w:t>
      </w:r>
      <w:r w:rsidDel="00000000" w:rsidR="00000000" w:rsidRPr="00000000">
        <w:rPr>
          <w:b w:val="1"/>
          <w:bCs w:val="1"/>
          <w:rtl w:val="0"/>
        </w:rPr>
        <w:t xml:space="preserve">themes, variables, or concepts</w:t>
      </w:r>
      <w:r w:rsidDel="00000000" w:rsidR="00000000" w:rsidRPr="00000000">
        <w:rPr>
          <w:rtl w:val="0"/>
        </w:rPr>
        <w:t xml:space="preserve"> that continue coming up in your reading. Use as many columns as needed to record the major themes. </w:t>
      </w:r>
    </w:p>
    <w:p w:rsidR="00000000" w:rsidDel="00000000" w:rsidP="00000000" w:rsidRDefault="00000000" w:rsidRPr="00000000" w14:paraId="0000000E">
      <w:pPr>
        <w:numPr>
          <w:ilvl w:val="0"/>
          <w:numId w:val="1"/>
        </w:numPr>
        <w:spacing w:after="0" w:afterAutospacing="0" w:lineRule="auto"/>
        <w:ind w:left="720" w:hanging="360"/>
      </w:pPr>
      <w:r w:rsidDel="00000000" w:rsidR="00000000" w:rsidRPr="00000000">
        <w:rPr>
          <w:b w:val="1"/>
          <w:bCs w:val="1"/>
          <w:rtl w:val="0"/>
        </w:rPr>
        <w:t xml:space="preserve">Rows:</w:t>
      </w:r>
      <w:r w:rsidDel="00000000" w:rsidR="00000000" w:rsidRPr="00000000">
        <w:rPr>
          <w:rtl w:val="0"/>
        </w:rPr>
        <w:t xml:space="preserve"> After reading an article, do not summarize the entire piece. Instead, pull out only the points that fit into your established themes and place them in the corresponding row.</w:t>
      </w:r>
    </w:p>
    <w:p w:rsidR="00000000" w:rsidDel="00000000" w:rsidP="00000000" w:rsidRDefault="00000000" w:rsidRPr="00000000" w14:paraId="0000000F">
      <w:pPr>
        <w:numPr>
          <w:ilvl w:val="0"/>
          <w:numId w:val="1"/>
        </w:numPr>
        <w:spacing w:after="240" w:lineRule="auto"/>
        <w:ind w:left="720" w:hanging="360"/>
      </w:pPr>
      <w:r w:rsidDel="00000000" w:rsidR="00000000" w:rsidRPr="00000000">
        <w:rPr>
          <w:b w:val="1"/>
          <w:bCs w:val="1"/>
          <w:rtl w:val="0"/>
        </w:rPr>
        <w:t xml:space="preserve">“My Analysis” Column:</w:t>
      </w:r>
      <w:r w:rsidDel="00000000" w:rsidR="00000000" w:rsidRPr="00000000">
        <w:rPr>
          <w:rtl w:val="0"/>
        </w:rPr>
        <w:t xml:space="preserve"> Use this final column for your own critical analysis. This is where you note inconsistencies, similarities, and gaps, and explain how this information informs your research </w:t>
      </w:r>
      <w:r w:rsidDel="00000000" w:rsidR="00000000" w:rsidRPr="00000000">
        <w:rPr>
          <w:rtl w:val="0"/>
        </w:rPr>
        <w:t xml:space="preserve">questions</w:t>
      </w:r>
      <w:r w:rsidDel="00000000" w:rsidR="00000000" w:rsidRPr="00000000">
        <w:rPr>
          <w:rtl w:val="0"/>
        </w:rPr>
        <w:t xml:space="preserve">.</w:t>
      </w:r>
    </w:p>
    <w:p w:rsidR="00000000" w:rsidDel="00000000" w:rsidP="00000000" w:rsidRDefault="00000000" w:rsidRPr="00000000" w14:paraId="00000010">
      <w:pPr>
        <w:spacing w:after="240" w:lineRule="auto"/>
        <w:rPr/>
      </w:pPr>
      <w:r w:rsidDel="00000000" w:rsidR="00000000" w:rsidRPr="00000000">
        <w:rPr>
          <w:color w:val="444746"/>
          <w:rtl w:val="0"/>
        </w:rPr>
        <w:t xml:space="preserve">Themes frequently evolve as additional literature is reviewed. Students should revise and refine their synthesis matrix as new patterns emerge.</w:t>
      </w:r>
      <w:r w:rsidDel="00000000" w:rsidR="00000000" w:rsidRPr="00000000">
        <w:rPr>
          <w:rtl w:val="0"/>
        </w:rPr>
        <w:t xml:space="preserve"> </w:t>
      </w:r>
    </w:p>
    <w:p w:rsidR="00000000" w:rsidDel="00000000" w:rsidP="00000000" w:rsidRDefault="00000000" w:rsidRPr="00000000" w14:paraId="00000011">
      <w:pPr>
        <w:spacing w:after="240" w:lineRule="auto"/>
        <w:ind w:left="0" w:firstLine="0"/>
        <w:rPr/>
      </w:pPr>
      <w:r w:rsidDel="00000000" w:rsidR="00000000" w:rsidRPr="00000000">
        <w:rPr>
          <w:rtl w:val="0"/>
        </w:rPr>
      </w:r>
    </w:p>
    <w:p w:rsidR="00000000" w:rsidDel="00000000" w:rsidP="00000000" w:rsidRDefault="00000000" w:rsidRPr="00000000" w14:paraId="00000012">
      <w:pPr>
        <w:pStyle w:val="Heading2"/>
        <w:keepNext w:val="0"/>
        <w:keepLines w:val="0"/>
        <w:spacing w:after="80" w:before="0" w:lineRule="auto"/>
        <w:rPr>
          <w:b w:val="1"/>
          <w:bCs w:val="1"/>
          <w:sz w:val="34"/>
          <w:szCs w:val="34"/>
        </w:rPr>
      </w:pPr>
      <w:bookmarkStart w:colFirst="0" w:colLast="0" w:name="_oacj6jepw3wm" w:id="5"/>
      <w:bookmarkEnd w:id="5"/>
      <w:r w:rsidDel="00000000" w:rsidR="00000000" w:rsidRPr="00000000">
        <w:rPr>
          <w:b w:val="1"/>
          <w:bCs w:val="1"/>
          <w:sz w:val="34"/>
          <w:szCs w:val="34"/>
          <w:rtl w:val="0"/>
        </w:rPr>
        <w:t xml:space="preserve">Example: Synthesis Matrix</w:t>
      </w:r>
    </w:p>
    <w:p w:rsidR="00000000" w:rsidDel="00000000" w:rsidP="00000000" w:rsidRDefault="00000000" w:rsidRPr="00000000" w14:paraId="00000013">
      <w:pPr>
        <w:spacing w:after="240" w:lineRule="auto"/>
        <w:rPr/>
      </w:pPr>
      <w:r w:rsidDel="00000000" w:rsidR="00000000" w:rsidRPr="00000000">
        <w:rPr>
          <w:rtl w:val="0"/>
        </w:rPr>
        <w:t xml:space="preserve">Below is a sample matrix focused on a hypothetical doctoral topic: </w:t>
      </w:r>
      <w:r w:rsidDel="00000000" w:rsidR="00000000" w:rsidRPr="00000000">
        <w:rPr>
          <w:i w:val="1"/>
          <w:iCs w:val="1"/>
          <w:rtl w:val="0"/>
        </w:rPr>
        <w:t xml:space="preserve">The Impact of Remote Work on Employee Burnout in Tech Startups</w:t>
      </w:r>
      <w:r w:rsidDel="00000000" w:rsidR="00000000" w:rsidRPr="00000000">
        <w:rPr>
          <w:rtl w:val="0"/>
        </w:rPr>
        <w:t xml:space="preserv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8280254777071"/>
        <w:gridCol w:w="1877.9617834394903"/>
        <w:gridCol w:w="1982.2929936305732"/>
        <w:gridCol w:w="2131.3375796178343"/>
        <w:gridCol w:w="1937.5796178343949"/>
        <w:tblGridChange w:id="0">
          <w:tblGrid>
            <w:gridCol w:w="1430.8280254777071"/>
            <w:gridCol w:w="1877.9617834394903"/>
            <w:gridCol w:w="1982.2929936305732"/>
            <w:gridCol w:w="2131.3375796178343"/>
            <w:gridCol w:w="1937.5796178343949"/>
          </w:tblGrid>
        </w:tblGridChange>
      </w:tblGrid>
      <w:tr>
        <w:trPr>
          <w:cantSplit w:val="0"/>
          <w:trHeight w:val="1365"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4">
            <w:pPr>
              <w:spacing w:after="480" w:lineRule="auto"/>
              <w:rPr/>
            </w:pPr>
            <w:r w:rsidDel="00000000" w:rsidR="00000000" w:rsidRPr="00000000">
              <w:rPr>
                <w:b w:val="1"/>
                <w:bCs w:val="1"/>
                <w:rtl w:val="0"/>
              </w:rPr>
              <w:t xml:space="preserve">Source (Citation)</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5">
            <w:pPr>
              <w:spacing w:after="480" w:lineRule="auto"/>
              <w:rPr/>
            </w:pPr>
            <w:r w:rsidDel="00000000" w:rsidR="00000000" w:rsidRPr="00000000">
              <w:rPr>
                <w:b w:val="1"/>
                <w:bCs w:val="1"/>
                <w:rtl w:val="0"/>
              </w:rPr>
              <w:t xml:space="preserve">Theme 1: Role of Leadership  </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6">
            <w:pPr>
              <w:spacing w:after="480" w:lineRule="auto"/>
              <w:rPr/>
            </w:pPr>
            <w:r w:rsidDel="00000000" w:rsidR="00000000" w:rsidRPr="00000000">
              <w:rPr>
                <w:b w:val="1"/>
                <w:bCs w:val="1"/>
                <w:rtl w:val="0"/>
              </w:rPr>
              <w:t xml:space="preserve">Theme 2: Work-Life Boundaries Blurred</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7">
            <w:pPr>
              <w:spacing w:after="480" w:lineRule="auto"/>
              <w:rPr/>
            </w:pPr>
            <w:r w:rsidDel="00000000" w:rsidR="00000000" w:rsidRPr="00000000">
              <w:rPr>
                <w:b w:val="1"/>
                <w:bCs w:val="1"/>
                <w:rtl w:val="0"/>
              </w:rPr>
              <w:t xml:space="preserve">Theme 3: Methodological Approaches</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8">
            <w:pPr>
              <w:spacing w:after="480" w:lineRule="auto"/>
              <w:rPr/>
            </w:pPr>
            <w:r w:rsidDel="00000000" w:rsidR="00000000" w:rsidRPr="00000000">
              <w:rPr>
                <w:b w:val="1"/>
                <w:bCs w:val="1"/>
                <w:rtl w:val="0"/>
              </w:rPr>
              <w:t xml:space="preserve">My Analysis / The "Gap"</w:t>
            </w:r>
            <w:r w:rsidDel="00000000" w:rsidR="00000000" w:rsidRPr="00000000">
              <w:rPr>
                <w:rtl w:val="0"/>
              </w:rPr>
            </w:r>
          </w:p>
        </w:tc>
      </w:tr>
      <w:tr>
        <w:trPr>
          <w:cantSplit w:val="0"/>
          <w:trHeight w:val="192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9">
            <w:pPr>
              <w:spacing w:after="480" w:lineRule="auto"/>
              <w:rPr/>
            </w:pPr>
            <w:r w:rsidDel="00000000" w:rsidR="00000000" w:rsidRPr="00000000">
              <w:rPr>
                <w:b w:val="1"/>
                <w:bCs w:val="1"/>
                <w:rtl w:val="0"/>
              </w:rPr>
              <w:t xml:space="preserve">Smith &amp; Jones (2022)</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A">
            <w:pPr>
              <w:spacing w:after="480" w:lineRule="auto"/>
              <w:rPr/>
            </w:pPr>
            <w:r w:rsidDel="00000000" w:rsidR="00000000" w:rsidRPr="00000000">
              <w:rPr>
                <w:rtl w:val="0"/>
              </w:rPr>
              <w:t xml:space="preserve">Empathetic leadership reduces burnout scores by 20%.</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B">
            <w:pPr>
              <w:spacing w:after="480" w:lineRule="auto"/>
              <w:rPr/>
            </w:pPr>
            <w:r w:rsidDel="00000000" w:rsidR="00000000" w:rsidRPr="00000000">
              <w:rPr>
                <w:rtl w:val="0"/>
              </w:rPr>
              <w:t xml:space="preserve">Remote employees often stay online late to appear in an “online status.”  </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C">
            <w:pPr>
              <w:spacing w:after="480" w:lineRule="auto"/>
              <w:rPr/>
            </w:pPr>
            <w:r w:rsidDel="00000000" w:rsidR="00000000" w:rsidRPr="00000000">
              <w:rPr>
                <w:rtl w:val="0"/>
              </w:rPr>
              <w:t xml:space="preserve">Quantitative survey ($n=450$).</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D">
            <w:pPr>
              <w:spacing w:after="480" w:lineRule="auto"/>
              <w:rPr/>
            </w:pPr>
            <w:r w:rsidDel="00000000" w:rsidR="00000000" w:rsidRPr="00000000">
              <w:rPr>
                <w:rtl w:val="0"/>
              </w:rPr>
              <w:t xml:space="preserve">Focuses mostly on large tech corporations, not tech startups.</w:t>
            </w:r>
          </w:p>
        </w:tc>
      </w:tr>
      <w:tr>
        <w:trPr>
          <w:cantSplit w:val="0"/>
          <w:trHeight w:val="219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E">
            <w:pPr>
              <w:spacing w:after="480" w:lineRule="auto"/>
              <w:rPr/>
            </w:pPr>
            <w:r w:rsidDel="00000000" w:rsidR="00000000" w:rsidRPr="00000000">
              <w:rPr>
                <w:b w:val="1"/>
                <w:bCs w:val="1"/>
                <w:rtl w:val="0"/>
              </w:rPr>
              <w:t xml:space="preserve">Al-Mansoori (2024)</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1F">
            <w:pPr>
              <w:spacing w:after="480" w:lineRule="auto"/>
              <w:rPr/>
            </w:pPr>
            <w:r w:rsidDel="00000000" w:rsidR="00000000" w:rsidRPr="00000000">
              <w:rPr>
                <w:rtl w:val="0"/>
              </w:rPr>
              <w:t xml:space="preserve">Remote-first environments often lack leadership training. </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0">
            <w:pPr>
              <w:spacing w:after="480" w:lineRule="auto"/>
              <w:rPr/>
            </w:pPr>
            <w:r w:rsidDel="00000000" w:rsidR="00000000" w:rsidRPr="00000000">
              <w:rPr>
                <w:i w:val="1"/>
                <w:iCs w:val="1"/>
                <w:rtl w:val="0"/>
              </w:rPr>
              <w:t xml:space="preserve">Not explicitly discussed.</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1">
            <w:pPr>
              <w:spacing w:after="480" w:lineRule="auto"/>
              <w:rPr/>
            </w:pPr>
            <w:r w:rsidDel="00000000" w:rsidR="00000000" w:rsidRPr="00000000">
              <w:rPr>
                <w:rtl w:val="0"/>
              </w:rPr>
              <w:t xml:space="preserve">Qualitative case study (20 tech founders).</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2">
            <w:pPr>
              <w:spacing w:after="480" w:lineRule="auto"/>
              <w:rPr/>
            </w:pPr>
            <w:r w:rsidDel="00000000" w:rsidR="00000000" w:rsidRPr="00000000">
              <w:rPr>
                <w:rtl w:val="0"/>
              </w:rPr>
              <w:t xml:space="preserve">Highlights that tech startups don’t have time/resources for leadership training.</w:t>
            </w:r>
          </w:p>
        </w:tc>
      </w:tr>
      <w:tr>
        <w:trPr>
          <w:cantSplit w:val="0"/>
          <w:trHeight w:val="2190" w:hRule="atLeast"/>
          <w:tblHeader w:val="0"/>
        </w:trPr>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Rule="auto"/>
              <w:rPr/>
            </w:pPr>
            <w:r w:rsidDel="00000000" w:rsidR="00000000" w:rsidRPr="00000000">
              <w:rPr>
                <w:b w:val="1"/>
                <w:bCs w:val="1"/>
                <w:rtl w:val="0"/>
              </w:rPr>
              <w:t xml:space="preserve">Davis et al. (2025)</w:t>
            </w:r>
            <w:r w:rsidDel="00000000" w:rsidR="00000000" w:rsidRPr="00000000">
              <w:rPr>
                <w:rtl w:val="0"/>
              </w:rPr>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pPr>
            <w:r w:rsidDel="00000000" w:rsidR="00000000" w:rsidRPr="00000000">
              <w:rPr>
                <w:rtl w:val="0"/>
              </w:rPr>
              <w:t xml:space="preserve">Using tracking software to micro-manage remote employees increases cortisol and anxiety.</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Rule="auto"/>
              <w:rPr/>
            </w:pPr>
            <w:r w:rsidDel="00000000" w:rsidR="00000000" w:rsidRPr="00000000">
              <w:rPr>
                <w:rtl w:val="0"/>
              </w:rPr>
              <w:t xml:space="preserve">Leadership can model asynchronous communication to help restore work-life boundaries. </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Rule="auto"/>
              <w:rPr/>
            </w:pPr>
            <w:r w:rsidDel="00000000" w:rsidR="00000000" w:rsidRPr="00000000">
              <w:rPr>
                <w:rtl w:val="0"/>
              </w:rPr>
              <w:t xml:space="preserve">Mixed-methods longitudinal study.</w:t>
            </w:r>
          </w:p>
        </w:tc>
        <w:tc>
          <w:tcPr>
            <w:tcBorders>
              <w:top w:color="c4c7c5" w:space="0" w:sz="4" w:val="single"/>
              <w:left w:color="c4c7c5" w:space="0" w:sz="4" w:val="single"/>
              <w:bottom w:color="c4c7c5" w:space="0" w:sz="4" w:val="single"/>
              <w:right w:color="c4c7c5" w:space="0" w:sz="4"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pPr>
            <w:r w:rsidDel="00000000" w:rsidR="00000000" w:rsidRPr="00000000">
              <w:rPr>
                <w:rtl w:val="0"/>
              </w:rPr>
              <w:t xml:space="preserve">Connects leadership behavior directly to boundary management.</w:t>
            </w:r>
          </w:p>
        </w:tc>
      </w:tr>
    </w:tbl>
    <w:p w:rsidR="00000000" w:rsidDel="00000000" w:rsidP="00000000" w:rsidRDefault="00000000" w:rsidRPr="00000000" w14:paraId="00000028">
      <w:pPr>
        <w:pStyle w:val="Heading2"/>
        <w:keepNext w:val="0"/>
        <w:keepLines w:val="0"/>
        <w:spacing w:after="80" w:before="0" w:lineRule="auto"/>
        <w:rPr>
          <w:b w:val="1"/>
          <w:bCs w:val="1"/>
          <w:sz w:val="34"/>
          <w:szCs w:val="34"/>
        </w:rPr>
      </w:pPr>
      <w:bookmarkStart w:colFirst="0" w:colLast="0" w:name="_yttfbg1z6bfo" w:id="6"/>
      <w:bookmarkEnd w:id="6"/>
      <w:r w:rsidDel="00000000" w:rsidR="00000000" w:rsidRPr="00000000">
        <w:rPr>
          <w:rtl w:val="0"/>
        </w:rPr>
      </w:r>
    </w:p>
    <w:p w:rsidR="00000000" w:rsidDel="00000000" w:rsidP="00000000" w:rsidRDefault="00000000" w:rsidRPr="00000000" w14:paraId="00000029">
      <w:pPr>
        <w:pStyle w:val="Heading2"/>
        <w:keepNext w:val="0"/>
        <w:keepLines w:val="0"/>
        <w:spacing w:after="80" w:before="0" w:lineRule="auto"/>
        <w:rPr>
          <w:b w:val="1"/>
          <w:bCs w:val="1"/>
          <w:sz w:val="34"/>
          <w:szCs w:val="34"/>
        </w:rPr>
      </w:pPr>
      <w:bookmarkStart w:colFirst="0" w:colLast="0" w:name="_hjw316gq1e1n" w:id="7"/>
      <w:bookmarkEnd w:id="7"/>
      <w:r w:rsidDel="00000000" w:rsidR="00000000" w:rsidRPr="00000000">
        <w:rPr>
          <w:b w:val="1"/>
          <w:bCs w:val="1"/>
          <w:sz w:val="34"/>
          <w:szCs w:val="34"/>
          <w:rtl w:val="0"/>
        </w:rPr>
        <w:t xml:space="preserve">From Matrix to Composition: Writing the Synthesis</w:t>
      </w:r>
    </w:p>
    <w:p w:rsidR="00000000" w:rsidDel="00000000" w:rsidP="00000000" w:rsidRDefault="00000000" w:rsidRPr="00000000" w14:paraId="0000002A">
      <w:pPr>
        <w:spacing w:after="240" w:lineRule="auto"/>
        <w:rPr/>
      </w:pPr>
      <w:r w:rsidDel="00000000" w:rsidR="00000000" w:rsidRPr="00000000">
        <w:rPr>
          <w:rtl w:val="0"/>
        </w:rPr>
        <w:t xml:space="preserve">Once the matrix is complete, doctoral researchers use it to begin writing about the </w:t>
      </w:r>
      <w:r w:rsidDel="00000000" w:rsidR="00000000" w:rsidRPr="00000000">
        <w:rPr>
          <w:b w:val="1"/>
          <w:bCs w:val="1"/>
          <w:rtl w:val="0"/>
        </w:rPr>
        <w:t xml:space="preserve">columns</w:t>
      </w:r>
      <w:r w:rsidDel="00000000" w:rsidR="00000000" w:rsidRPr="00000000">
        <w:rPr>
          <w:rtl w:val="0"/>
        </w:rPr>
        <w:t xml:space="preserve">.  </w:t>
      </w:r>
    </w:p>
    <w:p w:rsidR="00000000" w:rsidDel="00000000" w:rsidP="00000000" w:rsidRDefault="00000000" w:rsidRPr="00000000" w14:paraId="0000002B">
      <w:pPr>
        <w:pStyle w:val="Heading3"/>
        <w:keepNext w:val="0"/>
        <w:keepLines w:val="0"/>
        <w:spacing w:before="0" w:lineRule="auto"/>
        <w:rPr>
          <w:b w:val="1"/>
          <w:bCs w:val="1"/>
          <w:i w:val="1"/>
          <w:iCs w:val="1"/>
          <w:color w:val="000000"/>
          <w:sz w:val="26"/>
          <w:szCs w:val="26"/>
        </w:rPr>
      </w:pPr>
      <w:bookmarkStart w:colFirst="0" w:colLast="0" w:name="_eexsx9zh2elp" w:id="8"/>
      <w:bookmarkEnd w:id="8"/>
      <w:r w:rsidDel="00000000" w:rsidR="00000000" w:rsidRPr="00000000">
        <w:rPr>
          <w:b w:val="1"/>
          <w:bCs w:val="1"/>
          <w:i w:val="1"/>
          <w:iCs w:val="1"/>
          <w:color w:val="000000"/>
          <w:sz w:val="26"/>
          <w:szCs w:val="26"/>
          <w:rtl w:val="0"/>
        </w:rPr>
        <w:t xml:space="preserve">The Undergraduate Approach (What to Avoid)</w:t>
      </w:r>
    </w:p>
    <w:p w:rsidR="00000000" w:rsidDel="00000000" w:rsidP="00000000" w:rsidRDefault="00000000" w:rsidRPr="00000000" w14:paraId="0000002C">
      <w:pPr>
        <w:spacing w:after="240" w:lineRule="auto"/>
        <w:ind w:left="600" w:right="600" w:firstLine="0"/>
        <w:rPr/>
      </w:pPr>
      <w:r w:rsidDel="00000000" w:rsidR="00000000" w:rsidRPr="00000000">
        <w:rPr>
          <w:rtl w:val="0"/>
        </w:rPr>
        <w:t xml:space="preserve">Smith and Jones (2022)  reviewed remote work and found that leadership support helps prevent burnout. Al-Mansoori (2024) also examined remote work and found that startup leaders lack training. Davis et al. (2025) learned that tracking software increases anxiety.</w:t>
      </w:r>
    </w:p>
    <w:p w:rsidR="00000000" w:rsidDel="00000000" w:rsidP="00000000" w:rsidRDefault="00000000" w:rsidRPr="00000000" w14:paraId="0000002D">
      <w:pPr>
        <w:spacing w:after="240" w:lineRule="auto"/>
        <w:rPr/>
      </w:pPr>
      <w:r w:rsidDel="00000000" w:rsidR="00000000" w:rsidRPr="00000000">
        <w:rPr>
          <w:i w:val="1"/>
          <w:iCs w:val="1"/>
          <w:rtl w:val="0"/>
        </w:rPr>
        <w:t xml:space="preserve">Why this fails:</w:t>
      </w:r>
      <w:r w:rsidDel="00000000" w:rsidR="00000000" w:rsidRPr="00000000">
        <w:rPr>
          <w:rtl w:val="0"/>
        </w:rPr>
        <w:t xml:space="preserve"> It is a consecutive summary. The reader has to mentally connect the dots to discover the themes.  </w:t>
      </w:r>
    </w:p>
    <w:p w:rsidR="00000000" w:rsidDel="00000000" w:rsidP="00000000" w:rsidRDefault="00000000" w:rsidRPr="00000000" w14:paraId="0000002E">
      <w:pPr>
        <w:pStyle w:val="Heading3"/>
        <w:keepNext w:val="0"/>
        <w:keepLines w:val="0"/>
        <w:spacing w:before="0" w:lineRule="auto"/>
        <w:rPr>
          <w:b w:val="1"/>
          <w:bCs w:val="1"/>
          <w:i w:val="1"/>
          <w:iCs w:val="1"/>
          <w:color w:val="000000"/>
          <w:sz w:val="26"/>
          <w:szCs w:val="26"/>
        </w:rPr>
      </w:pPr>
      <w:bookmarkStart w:colFirst="0" w:colLast="0" w:name="_zfphksjtjq41" w:id="9"/>
      <w:bookmarkEnd w:id="9"/>
      <w:r w:rsidDel="00000000" w:rsidR="00000000" w:rsidRPr="00000000">
        <w:rPr>
          <w:b w:val="1"/>
          <w:bCs w:val="1"/>
          <w:i w:val="1"/>
          <w:iCs w:val="1"/>
          <w:color w:val="000000"/>
          <w:sz w:val="26"/>
          <w:szCs w:val="26"/>
          <w:rtl w:val="0"/>
        </w:rPr>
        <w:t xml:space="preserve">The Doctoral Approach (What to Aim For)</w:t>
      </w:r>
    </w:p>
    <w:p w:rsidR="00000000" w:rsidDel="00000000" w:rsidP="00000000" w:rsidRDefault="00000000" w:rsidRPr="00000000" w14:paraId="0000002F">
      <w:pPr>
        <w:spacing w:after="240" w:lineRule="auto"/>
        <w:ind w:left="600" w:right="600" w:firstLine="0"/>
        <w:rPr/>
      </w:pPr>
      <w:r w:rsidDel="00000000" w:rsidR="00000000" w:rsidRPr="00000000">
        <w:rPr>
          <w:rtl w:val="0"/>
        </w:rPr>
        <w:t xml:space="preserve">High-stress remote environments require a shift in leadership behavior to prevent employee burnout. While empathetic leadership significantly reduces burnout scores (Smith &amp; Jones, 2022), remote startup founders often lack the structured training needed to implement these supportive behaviors (Al-Mansoori, 2024). Furthermore, when leadership turns to digital micro-management via tracking software, executive anxiety is transferred onto staff, exacerbating burnout (Davis et al., 2025). Conversely, Davis et al. (2025) suggest that if leaders actively model asynchronous boundaries, the negative effects of digital presenteeism identified by Smith and Jones (2022) can be mitigated.</w:t>
      </w:r>
    </w:p>
    <w:p w:rsidR="00000000" w:rsidDel="00000000" w:rsidP="00000000" w:rsidRDefault="00000000" w:rsidRPr="00000000" w14:paraId="00000030">
      <w:pPr>
        <w:spacing w:after="240" w:lineRule="auto"/>
        <w:rPr/>
      </w:pPr>
      <w:r w:rsidDel="00000000" w:rsidR="00000000" w:rsidRPr="00000000">
        <w:rPr>
          <w:i w:val="1"/>
          <w:iCs w:val="1"/>
          <w:rtl w:val="0"/>
        </w:rPr>
        <w:t xml:space="preserve">Why this works: </w:t>
      </w:r>
      <w:r w:rsidDel="00000000" w:rsidR="00000000" w:rsidRPr="00000000">
        <w:rPr>
          <w:rtl w:val="0"/>
        </w:rPr>
        <w:t xml:space="preserve">The paragraph is structured around the </w:t>
      </w:r>
      <w:r w:rsidDel="00000000" w:rsidR="00000000" w:rsidRPr="00000000">
        <w:rPr>
          <w:rtl w:val="0"/>
        </w:rPr>
        <w:t xml:space="preserve">theme of leadership behavior and impact</w:t>
      </w:r>
      <w:r w:rsidDel="00000000" w:rsidR="00000000" w:rsidRPr="00000000">
        <w:rPr>
          <w:rtl w:val="0"/>
        </w:rPr>
        <w:t xml:space="preserve">. The authors are woven into a dynamic discussion, and the student's voice controls the narrative.</w:t>
      </w:r>
      <w:r w:rsidDel="00000000" w:rsidR="00000000" w:rsidRPr="00000000">
        <w:rPr>
          <w:rtl w:val="0"/>
        </w:rPr>
      </w:r>
    </w:p>
    <w:p w:rsidR="00000000" w:rsidDel="00000000" w:rsidP="00000000" w:rsidRDefault="00000000" w:rsidRPr="00000000" w14:paraId="00000031">
      <w:pPr>
        <w:pStyle w:val="Heading2"/>
        <w:keepNext w:val="0"/>
        <w:keepLines w:val="0"/>
        <w:spacing w:after="80" w:before="0" w:lineRule="auto"/>
        <w:rPr>
          <w:b w:val="1"/>
          <w:bCs w:val="1"/>
          <w:sz w:val="34"/>
          <w:szCs w:val="34"/>
        </w:rPr>
      </w:pPr>
      <w:bookmarkStart w:colFirst="0" w:colLast="0" w:name="_dpil9xgycozq" w:id="10"/>
      <w:bookmarkEnd w:id="10"/>
      <w:r w:rsidDel="00000000" w:rsidR="00000000" w:rsidRPr="00000000">
        <w:rPr>
          <w:b w:val="1"/>
          <w:bCs w:val="1"/>
          <w:sz w:val="34"/>
          <w:szCs w:val="34"/>
          <w:rtl w:val="0"/>
        </w:rPr>
        <w:t xml:space="preserve">Doctoral Writers' Checklist </w:t>
      </w:r>
      <w:r w:rsidDel="00000000" w:rsidR="00000000" w:rsidRPr="00000000">
        <w:rPr>
          <w:rtl w:val="0"/>
        </w:rPr>
      </w:r>
    </w:p>
    <w:p w:rsidR="00000000" w:rsidDel="00000000" w:rsidP="00000000" w:rsidRDefault="00000000" w:rsidRPr="00000000" w14:paraId="00000032">
      <w:pPr>
        <w:numPr>
          <w:ilvl w:val="0"/>
          <w:numId w:val="3"/>
        </w:numPr>
        <w:spacing w:after="0" w:afterAutospacing="0" w:lineRule="auto"/>
        <w:ind w:left="720" w:hanging="360"/>
      </w:pPr>
      <w:r w:rsidDel="00000000" w:rsidR="00000000" w:rsidRPr="00000000">
        <w:rPr>
          <w:rtl w:val="0"/>
        </w:rPr>
        <w:t xml:space="preserve">[ ] Are the topic sentences of each paragraph focused on </w:t>
      </w:r>
      <w:r w:rsidDel="00000000" w:rsidR="00000000" w:rsidRPr="00000000">
        <w:rPr>
          <w:i w:val="1"/>
          <w:iCs w:val="1"/>
          <w:rtl w:val="0"/>
        </w:rPr>
        <w:t xml:space="preserve">ideas</w:t>
      </w:r>
      <w:r w:rsidDel="00000000" w:rsidR="00000000" w:rsidRPr="00000000">
        <w:rPr>
          <w:rtl w:val="0"/>
        </w:rPr>
        <w:t xml:space="preserve"> or</w:t>
      </w:r>
      <w:r w:rsidDel="00000000" w:rsidR="00000000" w:rsidRPr="00000000">
        <w:rPr>
          <w:i w:val="1"/>
          <w:iCs w:val="1"/>
          <w:rtl w:val="0"/>
        </w:rPr>
        <w:t xml:space="preserve"> themes</w:t>
      </w:r>
      <w:r w:rsidDel="00000000" w:rsidR="00000000" w:rsidRPr="00000000">
        <w:rPr>
          <w:rtl w:val="0"/>
        </w:rPr>
        <w:t xml:space="preserve"> (and not </w:t>
      </w:r>
      <w:r w:rsidDel="00000000" w:rsidR="00000000" w:rsidRPr="00000000">
        <w:rPr>
          <w:i w:val="1"/>
          <w:iCs w:val="1"/>
          <w:rtl w:val="0"/>
        </w:rPr>
        <w:t xml:space="preserve">author names</w:t>
      </w:r>
      <w:r w:rsidDel="00000000" w:rsidR="00000000" w:rsidRPr="00000000">
        <w:rPr>
          <w:rtl w:val="0"/>
        </w:rPr>
        <w:t xml:space="preserve">?</w:t>
      </w:r>
    </w:p>
    <w:p w:rsidR="00000000" w:rsidDel="00000000" w:rsidP="00000000" w:rsidRDefault="00000000" w:rsidRPr="00000000" w14:paraId="00000033">
      <w:pPr>
        <w:numPr>
          <w:ilvl w:val="0"/>
          <w:numId w:val="3"/>
        </w:numPr>
        <w:spacing w:after="0" w:afterAutospacing="0" w:lineRule="auto"/>
        <w:ind w:left="720" w:hanging="360"/>
      </w:pPr>
      <w:r w:rsidDel="00000000" w:rsidR="00000000" w:rsidRPr="00000000">
        <w:rPr>
          <w:rtl w:val="0"/>
        </w:rPr>
        <w:t xml:space="preserve">[ ] Have I compared and contrasted more than one source within the same paragraph?</w:t>
      </w:r>
    </w:p>
    <w:p w:rsidR="00000000" w:rsidDel="00000000" w:rsidP="00000000" w:rsidRDefault="00000000" w:rsidRPr="00000000" w14:paraId="00000034">
      <w:pPr>
        <w:numPr>
          <w:ilvl w:val="0"/>
          <w:numId w:val="3"/>
        </w:numPr>
        <w:spacing w:after="0" w:afterAutospacing="0" w:lineRule="auto"/>
        <w:ind w:left="720" w:hanging="360"/>
      </w:pPr>
      <w:r w:rsidDel="00000000" w:rsidR="00000000" w:rsidRPr="00000000">
        <w:rPr>
          <w:rtl w:val="0"/>
        </w:rPr>
        <w:t xml:space="preserve">[ ] Is it clear to the reader what the existing literature states and where </w:t>
      </w:r>
      <w:r w:rsidDel="00000000" w:rsidR="00000000" w:rsidRPr="00000000">
        <w:rPr>
          <w:rtl w:val="0"/>
        </w:rPr>
        <w:t xml:space="preserve">the student’s </w:t>
      </w:r>
      <w:r w:rsidDel="00000000" w:rsidR="00000000" w:rsidRPr="00000000">
        <w:rPr>
          <w:rtl w:val="0"/>
        </w:rPr>
        <w:t xml:space="preserve">research voice takes over?</w:t>
      </w:r>
    </w:p>
    <w:p w:rsidR="00000000" w:rsidDel="00000000" w:rsidP="00000000" w:rsidRDefault="00000000" w:rsidRPr="00000000" w14:paraId="00000035">
      <w:pPr>
        <w:numPr>
          <w:ilvl w:val="0"/>
          <w:numId w:val="3"/>
        </w:numPr>
        <w:spacing w:after="240" w:lineRule="auto"/>
        <w:ind w:left="720" w:hanging="360"/>
      </w:pPr>
      <w:r w:rsidDel="00000000" w:rsidR="00000000" w:rsidRPr="00000000">
        <w:rPr>
          <w:rtl w:val="0"/>
        </w:rPr>
        <w:t xml:space="preserve">[ ] Did I use transition words that show relationships? </w:t>
      </w:r>
      <w:r w:rsidDel="00000000" w:rsidR="00000000" w:rsidRPr="00000000">
        <w:rPr>
          <w:i w:val="1"/>
          <w:iCs w:val="1"/>
          <w:rtl w:val="0"/>
        </w:rPr>
        <w:t xml:space="preserve">(e.g., "Conversely," "In contrast," "Expanding upon X's framework," "</w:t>
      </w:r>
      <w:r w:rsidDel="00000000" w:rsidR="00000000" w:rsidRPr="00000000">
        <w:rPr>
          <w:i w:val="1"/>
          <w:iCs w:val="1"/>
          <w:rtl w:val="0"/>
        </w:rPr>
        <w:t xml:space="preserve">Concurrently</w:t>
      </w:r>
      <w:r w:rsidDel="00000000" w:rsidR="00000000" w:rsidRPr="00000000">
        <w:rPr>
          <w:i w:val="1"/>
          <w:iCs w:val="1"/>
          <w:rtl w:val="0"/>
        </w:rPr>
        <w:t xml:space="preserve">") </w:t>
      </w:r>
    </w:p>
    <w:p w:rsidR="00000000" w:rsidDel="00000000" w:rsidP="00000000" w:rsidRDefault="00000000" w:rsidRPr="00000000" w14:paraId="00000036">
      <w:pPr>
        <w:spacing w:after="240" w:lineRule="auto"/>
        <w:ind w:left="0" w:firstLine="0"/>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line="312" w:lineRule="auto"/>
      <w:ind w:left="340" w:right="520" w:firstLine="20"/>
      <w:rPr>
        <w:color w:val="010101"/>
      </w:rPr>
    </w:pPr>
    <w:r w:rsidDel="00000000" w:rsidR="00000000" w:rsidRPr="00000000">
      <w:rPr>
        <w:color w:val="010101"/>
        <w:rtl w:val="0"/>
      </w:rPr>
      <w:t xml:space="preserve">© 2026 by Purdue University Global Academic Success Center.  All rights reserved. This material may not be published, reproduced, broadcast, rewritten, or redistributed without permission.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drawing>
        <wp:inline distB="114300" distT="114300" distL="114300" distR="114300">
          <wp:extent cx="3216897" cy="50006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6897" cy="500063"/>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